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Directors Special Board Meeting</w:t>
      </w:r>
    </w:p>
    <w:p w:rsidR="00000000" w:rsidDel="00000000" w:rsidP="00000000" w:rsidRDefault="00000000" w:rsidRPr="00000000" w14:paraId="00000003">
      <w:pPr>
        <w:pageBreakBefore w:val="0"/>
        <w:ind w:right="285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January 4</w:t>
      </w:r>
      <w:r w:rsidDel="00000000" w:rsidR="00000000" w:rsidRPr="00000000">
        <w:rPr>
          <w:rFonts w:ascii="Times New Roman" w:cs="Times New Roman" w:eastAsia="Times New Roman" w:hAnsi="Times New Roman"/>
          <w:b w:val="1"/>
          <w:rtl w:val="0"/>
        </w:rPr>
        <w:t xml:space="preserve">, 2022 - 12</w:t>
      </w:r>
      <w:r w:rsidDel="00000000" w:rsidR="00000000" w:rsidRPr="00000000">
        <w:rPr>
          <w:rFonts w:ascii="Times New Roman" w:cs="Times New Roman" w:eastAsia="Times New Roman" w:hAnsi="Times New Roman"/>
          <w:b w:val="1"/>
          <w:rtl w:val="0"/>
        </w:rPr>
        <w:t xml:space="preserve">:00 p.m. (noon)</w:t>
      </w:r>
    </w:p>
    <w:p w:rsidR="00000000" w:rsidDel="00000000" w:rsidP="00000000" w:rsidRDefault="00000000" w:rsidRPr="00000000" w14:paraId="00000004">
      <w:pPr>
        <w:ind w:right="2490"/>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rtl w:val="0"/>
        </w:rPr>
        <w:t xml:space="preserve">Boardroom,  801 N. Elm, Creston, IA</w:t>
      </w:r>
      <w:r w:rsidDel="00000000" w:rsidR="00000000" w:rsidRPr="00000000">
        <w:rPr>
          <w:rtl w:val="0"/>
        </w:rPr>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pageBreakBefore w:val="0"/>
        <w:ind w:right="31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7">
      <w:pPr>
        <w:pageBreakBefore w:val="0"/>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pageBreakBefore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pageBreakBefore w:val="0"/>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shorturl.at/rsGPR</w:t>
        </w:r>
      </w:hyperlink>
      <w:r w:rsidDel="00000000" w:rsidR="00000000" w:rsidRPr="00000000">
        <w:rPr>
          <w:rFonts w:ascii="Times New Roman" w:cs="Times New Roman" w:eastAsia="Times New Roman" w:hAnsi="Times New Roman"/>
          <w:color w:val="2d2d2d"/>
          <w:rtl w:val="0"/>
        </w:rPr>
        <w:t xml:space="preserve"> </w:t>
      </w:r>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w:t>
      </w:r>
      <w:r w:rsidDel="00000000" w:rsidR="00000000" w:rsidRPr="00000000">
        <w:rPr>
          <w:rFonts w:ascii="Roboto" w:cs="Roboto" w:eastAsia="Roboto" w:hAnsi="Roboto"/>
          <w:color w:val="3c4043"/>
          <w:sz w:val="21"/>
          <w:szCs w:val="21"/>
          <w:highlight w:val="white"/>
          <w:rtl w:val="0"/>
        </w:rPr>
        <w:t xml:space="preserve">873 3778 4729</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color w:val="2d2d2d"/>
          <w:rtl w:val="0"/>
        </w:rPr>
        <w:t xml:space="preserve">1-312-626-6799</w:t>
      </w:r>
      <w:r w:rsidDel="00000000" w:rsidR="00000000" w:rsidRPr="00000000">
        <w:rPr>
          <w:rtl w:val="0"/>
        </w:rPr>
      </w:r>
    </w:p>
    <w:p w:rsidR="00000000" w:rsidDel="00000000" w:rsidP="00000000" w:rsidRDefault="00000000" w:rsidRPr="00000000" w14:paraId="00000010">
      <w:pPr>
        <w:pageBreakBefore w:val="0"/>
        <w:pBdr>
          <w:top w:color="auto" w:space="0" w:sz="0" w:val="none"/>
          <w:left w:color="auto" w:space="0" w:sz="0" w:val="none"/>
          <w:bottom w:color="auto" w:space="0" w:sz="0" w:val="none"/>
          <w:right w:color="auto" w:space="0" w:sz="0" w:val="none"/>
          <w:between w:color="auto" w:space="0" w:sz="0" w:val="none"/>
        </w:pBdr>
        <w:jc w:val="left"/>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Special Board Meeting</w:t>
      </w: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4">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15">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Roll Call by ________________ at ______ p.m.</w:t>
      </w:r>
    </w:p>
    <w:p w:rsidR="00000000" w:rsidDel="00000000" w:rsidP="00000000" w:rsidRDefault="00000000" w:rsidRPr="00000000" w14:paraId="00000017">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w:t>
      </w:r>
    </w:p>
    <w:p w:rsidR="00000000" w:rsidDel="00000000" w:rsidP="00000000" w:rsidRDefault="00000000" w:rsidRPr="00000000" w14:paraId="00000018">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Dr. Amanda Mohr</w:t>
        <w:tab/>
        <w:t xml:space="preserve">___ Dr. Brad James</w:t>
        <w:tab/>
        <w:t xml:space="preserve">___ </w:t>
      </w:r>
      <w:r w:rsidDel="00000000" w:rsidR="00000000" w:rsidRPr="00000000">
        <w:rPr>
          <w:rFonts w:ascii="Times New Roman" w:cs="Times New Roman" w:eastAsia="Times New Roman" w:hAnsi="Times New Roman"/>
          <w:rtl w:val="0"/>
        </w:rPr>
        <w:t xml:space="preserve">Sharon Snodgrass</w:t>
      </w:r>
      <w:r w:rsidDel="00000000" w:rsidR="00000000" w:rsidRPr="00000000">
        <w:rPr>
          <w:rFonts w:ascii="Times New Roman" w:cs="Times New Roman" w:eastAsia="Times New Roman" w:hAnsi="Times New Roman"/>
          <w:rtl w:val="0"/>
        </w:rPr>
        <w:tab/>
        <w:t xml:space="preserve">___ Don Gee</w:t>
        <w:tab/>
      </w:r>
    </w:p>
    <w:p w:rsidR="00000000" w:rsidDel="00000000" w:rsidP="00000000" w:rsidRDefault="00000000" w:rsidRPr="00000000" w14:paraId="0000001A">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 </w:t>
      </w:r>
      <w:r w:rsidDel="00000000" w:rsidR="00000000" w:rsidRPr="00000000">
        <w:rPr>
          <w:rFonts w:ascii="Times New Roman" w:cs="Times New Roman" w:eastAsia="Times New Roman" w:hAnsi="Times New Roman"/>
          <w:rtl w:val="0"/>
        </w:rPr>
        <w:t xml:space="preserve">Galen Zumbach</w:t>
      </w:r>
      <w:r w:rsidDel="00000000" w:rsidR="00000000" w:rsidRPr="00000000">
        <w:rPr>
          <w:rFonts w:ascii="Times New Roman" w:cs="Times New Roman" w:eastAsia="Times New Roman" w:hAnsi="Times New Roman"/>
          <w:rtl w:val="0"/>
        </w:rPr>
        <w:tab/>
        <w:t xml:space="preserve">___ Callie Anderson</w:t>
        <w:tab/>
        <w:t xml:space="preserve">___ Brad Baker</w:t>
        <w:tab/>
        <w:t xml:space="preserve">___ Scott Driskell</w:t>
        <w:tab/>
      </w:r>
    </w:p>
    <w:p w:rsidR="00000000" w:rsidDel="00000000" w:rsidP="00000000" w:rsidRDefault="00000000" w:rsidRPr="00000000" w14:paraId="0000001B">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 Julie Plant</w:t>
        <w:tab/>
        <w:t xml:space="preserve">___ Billie Jo Greene</w:t>
        <w:tab/>
        <w:t xml:space="preserve">___ Deron Stender</w:t>
        <w:tab/>
        <w:t xml:space="preserve">___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1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1E">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_____________      Seconded by:  _____________   Those Voting:  ____ AYE    ____NAY</w:t>
      </w:r>
    </w:p>
    <w:p w:rsidR="00000000" w:rsidDel="00000000" w:rsidP="00000000" w:rsidRDefault="00000000" w:rsidRPr="00000000" w14:paraId="00000020">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numPr>
          <w:ilvl w:val="0"/>
          <w:numId w:val="2"/>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22">
      <w:pPr>
        <w:widowControl w:val="0"/>
        <w:ind w:left="1440" w:firstLine="0"/>
        <w:rPr>
          <w:rFonts w:ascii="Times New Roman" w:cs="Times New Roman" w:eastAsia="Times New Roman" w:hAnsi="Times New Roman"/>
          <w:b w:val="1"/>
          <w:color w:val="202124"/>
          <w:highlight w:val="white"/>
        </w:rPr>
      </w:pPr>
      <w:r w:rsidDel="00000000" w:rsidR="00000000" w:rsidRPr="00000000">
        <w:rPr>
          <w:rtl w:val="0"/>
        </w:rPr>
      </w:r>
    </w:p>
    <w:p w:rsidR="00000000" w:rsidDel="00000000" w:rsidP="00000000" w:rsidRDefault="00000000" w:rsidRPr="00000000" w14:paraId="00000023">
      <w:pPr>
        <w:widowControl w:val="0"/>
        <w:numPr>
          <w:ilvl w:val="1"/>
          <w:numId w:val="2"/>
        </w:numPr>
        <w:ind w:left="144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b w:val="1"/>
            <w:color w:val="1155cc"/>
            <w:u w:val="single"/>
            <w:rtl w:val="0"/>
          </w:rPr>
          <w:t xml:space="preserve">Consider approving emergency policies developed by IASB that comply with the federal and state mandates.</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24">
      <w:pPr>
        <w:widowControl w:val="0"/>
        <w:numPr>
          <w:ilvl w:val="2"/>
          <w:numId w:val="2"/>
        </w:numPr>
        <w:ind w:left="23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On November 5, 2021, the Occupational Safety and Health Administration (OSHA) published an emergency rule requiring certain employers to require vaccinations against COVID-19 for their employees. The rule, or emergency temporary standard (ETS) was issued through the agency’s emergency rulemaking powers and is in </w:t>
      </w:r>
      <w:hyperlink r:id="rId10">
        <w:r w:rsidDel="00000000" w:rsidR="00000000" w:rsidRPr="00000000">
          <w:rPr>
            <w:rFonts w:ascii="Times New Roman" w:cs="Times New Roman" w:eastAsia="Times New Roman" w:hAnsi="Times New Roman"/>
            <w:color w:val="0000ff"/>
            <w:sz w:val="24"/>
            <w:szCs w:val="24"/>
            <w:u w:val="single"/>
            <w:rtl w:val="0"/>
          </w:rPr>
          <w:t xml:space="preserve">29 C.F.R. 1910.501</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widowControl w:val="0"/>
        <w:ind w:left="23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ind w:left="23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4"/>
          <w:szCs w:val="24"/>
          <w:rtl w:val="0"/>
        </w:rPr>
        <w:t xml:space="preserve">This rule requires school districts with 100 or more employees (including full-time, part-time, and temporary employees like substitutes) to have in place a policy that requires full vaccination against COVID-19. For employees who do not wish to be vaccinated, the policy must provide for a requirement that employees be subject to weekly testing and use of face coverings. Medical and religious exemptions must also apply. The policies and accompanying exhibits and regulations will create additional record-keeping requirements for districts. The district has consulted with legal counsel and they recommend adoption of IASB Policy Series 403.7 and associated guidelines and documents.  Please contact Mr. Stender with any questions.</w:t>
      </w:r>
      <w:r w:rsidDel="00000000" w:rsidR="00000000" w:rsidRPr="00000000">
        <w:rPr>
          <w:rtl w:val="0"/>
        </w:rPr>
      </w:r>
    </w:p>
    <w:p w:rsidR="00000000" w:rsidDel="00000000" w:rsidP="00000000" w:rsidRDefault="00000000" w:rsidRPr="00000000" w14:paraId="00000027">
      <w:pPr>
        <w:widowControl w:val="0"/>
        <w:numPr>
          <w:ilvl w:val="3"/>
          <w:numId w:val="2"/>
        </w:numPr>
        <w:ind w:left="3420" w:hanging="360"/>
        <w:rPr>
          <w:rFonts w:ascii="Times New Roman" w:cs="Times New Roman" w:eastAsia="Times New Roman" w:hAnsi="Times New Roman"/>
          <w:color w:val="2d2d2d"/>
        </w:rPr>
      </w:pPr>
      <w:hyperlink r:id="rId11">
        <w:r w:rsidDel="00000000" w:rsidR="00000000" w:rsidRPr="00000000">
          <w:rPr>
            <w:rFonts w:ascii="Times New Roman" w:cs="Times New Roman" w:eastAsia="Times New Roman" w:hAnsi="Times New Roman"/>
            <w:b w:val="1"/>
            <w:color w:val="1155cc"/>
            <w:sz w:val="23"/>
            <w:szCs w:val="23"/>
            <w:highlight w:val="white"/>
            <w:u w:val="single"/>
            <w:rtl w:val="0"/>
          </w:rPr>
          <w:t xml:space="preserve">403.7 – Employee Vaccination/Testing for COVID-19</w:t>
        </w:r>
      </w:hyperlink>
      <w:r w:rsidDel="00000000" w:rsidR="00000000" w:rsidRPr="00000000">
        <w:rPr>
          <w:rtl w:val="0"/>
        </w:rPr>
      </w:r>
    </w:p>
    <w:p w:rsidR="00000000" w:rsidDel="00000000" w:rsidP="00000000" w:rsidRDefault="00000000" w:rsidRPr="00000000" w14:paraId="00000028">
      <w:pPr>
        <w:widowControl w:val="0"/>
        <w:numPr>
          <w:ilvl w:val="4"/>
          <w:numId w:val="2"/>
        </w:numPr>
        <w:ind w:left="4590" w:hanging="360"/>
        <w:rPr>
          <w:rFonts w:ascii="Times New Roman" w:cs="Times New Roman" w:eastAsia="Times New Roman" w:hAnsi="Times New Roman"/>
          <w:color w:val="2d2d2d"/>
          <w:sz w:val="23"/>
          <w:szCs w:val="23"/>
          <w:highlight w:val="white"/>
        </w:rPr>
      </w:pPr>
      <w:r w:rsidDel="00000000" w:rsidR="00000000" w:rsidRPr="00000000">
        <w:rPr>
          <w:rFonts w:ascii="Times New Roman" w:cs="Times New Roman" w:eastAsia="Times New Roman" w:hAnsi="Times New Roman"/>
          <w:color w:val="2d2d2d"/>
          <w:sz w:val="24"/>
          <w:szCs w:val="24"/>
          <w:highlight w:val="white"/>
          <w:rtl w:val="0"/>
        </w:rPr>
        <w:t xml:space="preserve">This new policy is issued in response to OSHA’s recent rule (ETS) requiring vaccinations of employees for employers with 100 or more employees. This applies to any employers who reach 100 or more employees at any time while the rule is in effect. This policy is mandatory and allows for an alternate testing and face covering procedure for employees who do not wish to be vaccinated. It also permits medical and religious exemptions. This policy also creates notice to employees that they may be subject to disciplinary action for failure to comply with the requirements of the policy.</w:t>
      </w:r>
      <w:r w:rsidDel="00000000" w:rsidR="00000000" w:rsidRPr="00000000">
        <w:rPr>
          <w:rtl w:val="0"/>
        </w:rPr>
      </w:r>
    </w:p>
    <w:p w:rsidR="00000000" w:rsidDel="00000000" w:rsidP="00000000" w:rsidRDefault="00000000" w:rsidRPr="00000000" w14:paraId="00000029">
      <w:pPr>
        <w:widowControl w:val="0"/>
        <w:numPr>
          <w:ilvl w:val="3"/>
          <w:numId w:val="2"/>
        </w:numPr>
        <w:ind w:left="3420" w:hanging="360"/>
        <w:rPr>
          <w:rFonts w:ascii="Times New Roman" w:cs="Times New Roman" w:eastAsia="Times New Roman" w:hAnsi="Times New Roman"/>
          <w:color w:val="2d2d2d"/>
        </w:rPr>
      </w:pPr>
      <w:hyperlink r:id="rId12">
        <w:r w:rsidDel="00000000" w:rsidR="00000000" w:rsidRPr="00000000">
          <w:rPr>
            <w:rFonts w:ascii="Times New Roman" w:cs="Times New Roman" w:eastAsia="Times New Roman" w:hAnsi="Times New Roman"/>
            <w:b w:val="1"/>
            <w:color w:val="1155cc"/>
            <w:sz w:val="23"/>
            <w:szCs w:val="23"/>
            <w:highlight w:val="white"/>
            <w:u w:val="single"/>
            <w:rtl w:val="0"/>
          </w:rPr>
          <w:t xml:space="preserve">403.7R1 – Employee Vaccination/Testing for COVID-19 Regulation</w:t>
        </w:r>
      </w:hyperlink>
      <w:r w:rsidDel="00000000" w:rsidR="00000000" w:rsidRPr="00000000">
        <w:rPr>
          <w:rtl w:val="0"/>
        </w:rPr>
      </w:r>
    </w:p>
    <w:p w:rsidR="00000000" w:rsidDel="00000000" w:rsidP="00000000" w:rsidRDefault="00000000" w:rsidRPr="00000000" w14:paraId="0000002A">
      <w:pPr>
        <w:widowControl w:val="0"/>
        <w:numPr>
          <w:ilvl w:val="4"/>
          <w:numId w:val="2"/>
        </w:numPr>
        <w:ind w:left="4590" w:hanging="360"/>
        <w:rPr>
          <w:rFonts w:ascii="Times New Roman" w:cs="Times New Roman" w:eastAsia="Times New Roman" w:hAnsi="Times New Roman"/>
          <w:color w:val="2d2d2d"/>
          <w:sz w:val="23"/>
          <w:szCs w:val="23"/>
          <w:highlight w:val="white"/>
        </w:rPr>
      </w:pPr>
      <w:r w:rsidDel="00000000" w:rsidR="00000000" w:rsidRPr="00000000">
        <w:rPr>
          <w:rFonts w:ascii="Times New Roman" w:cs="Times New Roman" w:eastAsia="Times New Roman" w:hAnsi="Times New Roman"/>
          <w:color w:val="2d2d2d"/>
          <w:sz w:val="24"/>
          <w:szCs w:val="24"/>
          <w:highlight w:val="white"/>
          <w:rtl w:val="0"/>
        </w:rPr>
        <w:t xml:space="preserve">This regulation offers additional administrative level guidance to administrative teams on the record-keeping and enforcement requirements of the policy.</w:t>
      </w:r>
      <w:r w:rsidDel="00000000" w:rsidR="00000000" w:rsidRPr="00000000">
        <w:rPr>
          <w:rtl w:val="0"/>
        </w:rPr>
      </w:r>
    </w:p>
    <w:p w:rsidR="00000000" w:rsidDel="00000000" w:rsidP="00000000" w:rsidRDefault="00000000" w:rsidRPr="00000000" w14:paraId="0000002B">
      <w:pPr>
        <w:widowControl w:val="0"/>
        <w:numPr>
          <w:ilvl w:val="3"/>
          <w:numId w:val="2"/>
        </w:numPr>
        <w:ind w:left="3420" w:hanging="360"/>
        <w:rPr>
          <w:rFonts w:ascii="Times New Roman" w:cs="Times New Roman" w:eastAsia="Times New Roman" w:hAnsi="Times New Roman"/>
          <w:color w:val="2d2d2d"/>
        </w:rPr>
      </w:pPr>
      <w:hyperlink r:id="rId13">
        <w:r w:rsidDel="00000000" w:rsidR="00000000" w:rsidRPr="00000000">
          <w:rPr>
            <w:rFonts w:ascii="Times New Roman" w:cs="Times New Roman" w:eastAsia="Times New Roman" w:hAnsi="Times New Roman"/>
            <w:b w:val="1"/>
            <w:color w:val="1155cc"/>
            <w:sz w:val="23"/>
            <w:szCs w:val="23"/>
            <w:highlight w:val="white"/>
            <w:u w:val="single"/>
            <w:rtl w:val="0"/>
          </w:rPr>
          <w:t xml:space="preserve">403.7R2 – Required Notices to Employees</w:t>
        </w:r>
      </w:hyperlink>
      <w:r w:rsidDel="00000000" w:rsidR="00000000" w:rsidRPr="00000000">
        <w:rPr>
          <w:rtl w:val="0"/>
        </w:rPr>
      </w:r>
    </w:p>
    <w:p w:rsidR="00000000" w:rsidDel="00000000" w:rsidP="00000000" w:rsidRDefault="00000000" w:rsidRPr="00000000" w14:paraId="0000002C">
      <w:pPr>
        <w:widowControl w:val="0"/>
        <w:numPr>
          <w:ilvl w:val="4"/>
          <w:numId w:val="2"/>
        </w:numPr>
        <w:ind w:left="4590" w:hanging="360"/>
        <w:rPr>
          <w:rFonts w:ascii="Times New Roman" w:cs="Times New Roman" w:eastAsia="Times New Roman" w:hAnsi="Times New Roman"/>
          <w:color w:val="2d2d2d"/>
          <w:sz w:val="23"/>
          <w:szCs w:val="23"/>
          <w:highlight w:val="white"/>
        </w:rPr>
      </w:pPr>
      <w:r w:rsidDel="00000000" w:rsidR="00000000" w:rsidRPr="00000000">
        <w:rPr>
          <w:rFonts w:ascii="Times New Roman" w:cs="Times New Roman" w:eastAsia="Times New Roman" w:hAnsi="Times New Roman"/>
          <w:color w:val="2d2d2d"/>
          <w:sz w:val="24"/>
          <w:szCs w:val="24"/>
          <w:highlight w:val="white"/>
          <w:rtl w:val="0"/>
        </w:rPr>
        <w:t xml:space="preserve">This regulation offers required notices to employees in accordance with OSHA requirements.</w:t>
      </w:r>
      <w:r w:rsidDel="00000000" w:rsidR="00000000" w:rsidRPr="00000000">
        <w:rPr>
          <w:rtl w:val="0"/>
        </w:rPr>
      </w:r>
    </w:p>
    <w:p w:rsidR="00000000" w:rsidDel="00000000" w:rsidP="00000000" w:rsidRDefault="00000000" w:rsidRPr="00000000" w14:paraId="0000002D">
      <w:pPr>
        <w:widowControl w:val="0"/>
        <w:numPr>
          <w:ilvl w:val="3"/>
          <w:numId w:val="2"/>
        </w:numPr>
        <w:ind w:left="3420" w:hanging="360"/>
        <w:rPr>
          <w:rFonts w:ascii="Times New Roman" w:cs="Times New Roman" w:eastAsia="Times New Roman" w:hAnsi="Times New Roman"/>
          <w:color w:val="2d2d2d"/>
        </w:rPr>
      </w:pPr>
      <w:hyperlink r:id="rId14">
        <w:r w:rsidDel="00000000" w:rsidR="00000000" w:rsidRPr="00000000">
          <w:rPr>
            <w:rFonts w:ascii="Times New Roman" w:cs="Times New Roman" w:eastAsia="Times New Roman" w:hAnsi="Times New Roman"/>
            <w:b w:val="1"/>
            <w:color w:val="1155cc"/>
            <w:sz w:val="23"/>
            <w:szCs w:val="23"/>
            <w:highlight w:val="white"/>
            <w:u w:val="single"/>
            <w:rtl w:val="0"/>
          </w:rPr>
          <w:t xml:space="preserve">403.7E1 – Employee Personal Attestation of Vaccination Status</w:t>
        </w:r>
      </w:hyperlink>
      <w:r w:rsidDel="00000000" w:rsidR="00000000" w:rsidRPr="00000000">
        <w:rPr>
          <w:rtl w:val="0"/>
        </w:rPr>
      </w:r>
    </w:p>
    <w:p w:rsidR="00000000" w:rsidDel="00000000" w:rsidP="00000000" w:rsidRDefault="00000000" w:rsidRPr="00000000" w14:paraId="0000002E">
      <w:pPr>
        <w:widowControl w:val="0"/>
        <w:numPr>
          <w:ilvl w:val="4"/>
          <w:numId w:val="2"/>
        </w:numPr>
        <w:ind w:left="4590" w:hanging="360"/>
        <w:rPr>
          <w:rFonts w:ascii="Times New Roman" w:cs="Times New Roman" w:eastAsia="Times New Roman" w:hAnsi="Times New Roman"/>
          <w:color w:val="2d2d2d"/>
          <w:sz w:val="23"/>
          <w:szCs w:val="23"/>
          <w:highlight w:val="white"/>
        </w:rPr>
      </w:pPr>
      <w:r w:rsidDel="00000000" w:rsidR="00000000" w:rsidRPr="00000000">
        <w:rPr>
          <w:rFonts w:ascii="Times New Roman" w:cs="Times New Roman" w:eastAsia="Times New Roman" w:hAnsi="Times New Roman"/>
          <w:color w:val="2d2d2d"/>
          <w:sz w:val="24"/>
          <w:szCs w:val="24"/>
          <w:highlight w:val="white"/>
          <w:rtl w:val="0"/>
        </w:rPr>
        <w:t xml:space="preserve">This form is an option for districts to utilize to fulfill the personal attestation option of vaccination status reporting that is required by the rule. </w:t>
      </w:r>
      <w:r w:rsidDel="00000000" w:rsidR="00000000" w:rsidRPr="00000000">
        <w:rPr>
          <w:rtl w:val="0"/>
        </w:rPr>
      </w:r>
    </w:p>
    <w:p w:rsidR="00000000" w:rsidDel="00000000" w:rsidP="00000000" w:rsidRDefault="00000000" w:rsidRPr="00000000" w14:paraId="0000002F">
      <w:pPr>
        <w:widowControl w:val="0"/>
        <w:numPr>
          <w:ilvl w:val="3"/>
          <w:numId w:val="2"/>
        </w:numPr>
        <w:ind w:left="3420" w:hanging="360"/>
        <w:rPr>
          <w:rFonts w:ascii="Times New Roman" w:cs="Times New Roman" w:eastAsia="Times New Roman" w:hAnsi="Times New Roman"/>
          <w:color w:val="2d2d2d"/>
        </w:rPr>
      </w:pPr>
      <w:hyperlink r:id="rId15">
        <w:r w:rsidDel="00000000" w:rsidR="00000000" w:rsidRPr="00000000">
          <w:rPr>
            <w:rFonts w:ascii="Times New Roman" w:cs="Times New Roman" w:eastAsia="Times New Roman" w:hAnsi="Times New Roman"/>
            <w:b w:val="1"/>
            <w:color w:val="1155cc"/>
            <w:sz w:val="23"/>
            <w:szCs w:val="23"/>
            <w:highlight w:val="white"/>
            <w:u w:val="single"/>
            <w:rtl w:val="0"/>
          </w:rPr>
          <w:t xml:space="preserve">403.7E2 – Medical Accommodation Request Form</w:t>
        </w:r>
      </w:hyperlink>
      <w:r w:rsidDel="00000000" w:rsidR="00000000" w:rsidRPr="00000000">
        <w:rPr>
          <w:rtl w:val="0"/>
        </w:rPr>
      </w:r>
    </w:p>
    <w:p w:rsidR="00000000" w:rsidDel="00000000" w:rsidP="00000000" w:rsidRDefault="00000000" w:rsidRPr="00000000" w14:paraId="00000030">
      <w:pPr>
        <w:widowControl w:val="0"/>
        <w:numPr>
          <w:ilvl w:val="4"/>
          <w:numId w:val="2"/>
        </w:numPr>
        <w:ind w:left="4590" w:hanging="360"/>
        <w:rPr>
          <w:rFonts w:ascii="Times New Roman" w:cs="Times New Roman" w:eastAsia="Times New Roman" w:hAnsi="Times New Roman"/>
          <w:color w:val="2d2d2d"/>
          <w:sz w:val="23"/>
          <w:szCs w:val="23"/>
          <w:highlight w:val="white"/>
        </w:rPr>
      </w:pPr>
      <w:r w:rsidDel="00000000" w:rsidR="00000000" w:rsidRPr="00000000">
        <w:rPr>
          <w:rFonts w:ascii="Times New Roman" w:cs="Times New Roman" w:eastAsia="Times New Roman" w:hAnsi="Times New Roman"/>
          <w:color w:val="2d2d2d"/>
          <w:sz w:val="24"/>
          <w:szCs w:val="24"/>
          <w:highlight w:val="white"/>
          <w:rtl w:val="0"/>
        </w:rPr>
        <w:t xml:space="preserve">This is an optional form for districts to utilize to keep record of requests for medical accommodation, and the status of whether those requests have been approved.</w:t>
      </w:r>
      <w:r w:rsidDel="00000000" w:rsidR="00000000" w:rsidRPr="00000000">
        <w:rPr>
          <w:rtl w:val="0"/>
        </w:rPr>
      </w:r>
    </w:p>
    <w:p w:rsidR="00000000" w:rsidDel="00000000" w:rsidP="00000000" w:rsidRDefault="00000000" w:rsidRPr="00000000" w14:paraId="00000031">
      <w:pPr>
        <w:widowControl w:val="0"/>
        <w:numPr>
          <w:ilvl w:val="3"/>
          <w:numId w:val="2"/>
        </w:numPr>
        <w:ind w:left="3420" w:hanging="360"/>
        <w:rPr>
          <w:rFonts w:ascii="Times New Roman" w:cs="Times New Roman" w:eastAsia="Times New Roman" w:hAnsi="Times New Roman"/>
          <w:color w:val="2d2d2d"/>
        </w:rPr>
      </w:pPr>
      <w:hyperlink r:id="rId16">
        <w:r w:rsidDel="00000000" w:rsidR="00000000" w:rsidRPr="00000000">
          <w:rPr>
            <w:rFonts w:ascii="Times New Roman" w:cs="Times New Roman" w:eastAsia="Times New Roman" w:hAnsi="Times New Roman"/>
            <w:b w:val="1"/>
            <w:color w:val="1155cc"/>
            <w:sz w:val="23"/>
            <w:szCs w:val="23"/>
            <w:highlight w:val="white"/>
            <w:u w:val="single"/>
            <w:rtl w:val="0"/>
          </w:rPr>
          <w:t xml:space="preserve">403.7E3 – Religious Accommodation Request Form</w:t>
        </w:r>
      </w:hyperlink>
      <w:r w:rsidDel="00000000" w:rsidR="00000000" w:rsidRPr="00000000">
        <w:rPr>
          <w:rtl w:val="0"/>
        </w:rPr>
      </w:r>
    </w:p>
    <w:p w:rsidR="00000000" w:rsidDel="00000000" w:rsidP="00000000" w:rsidRDefault="00000000" w:rsidRPr="00000000" w14:paraId="00000032">
      <w:pPr>
        <w:widowControl w:val="0"/>
        <w:numPr>
          <w:ilvl w:val="4"/>
          <w:numId w:val="2"/>
        </w:numPr>
        <w:ind w:left="4590" w:hanging="360"/>
        <w:rPr>
          <w:rFonts w:ascii="Times New Roman" w:cs="Times New Roman" w:eastAsia="Times New Roman" w:hAnsi="Times New Roman"/>
          <w:color w:val="2d2d2d"/>
          <w:sz w:val="23"/>
          <w:szCs w:val="23"/>
          <w:highlight w:val="white"/>
        </w:rPr>
      </w:pPr>
      <w:r w:rsidDel="00000000" w:rsidR="00000000" w:rsidRPr="00000000">
        <w:rPr>
          <w:rFonts w:ascii="Times New Roman" w:cs="Times New Roman" w:eastAsia="Times New Roman" w:hAnsi="Times New Roman"/>
          <w:color w:val="2d2d2d"/>
          <w:sz w:val="24"/>
          <w:szCs w:val="24"/>
          <w:highlight w:val="white"/>
          <w:rtl w:val="0"/>
        </w:rPr>
        <w:t xml:space="preserve">This is an optional form for districts to utilize to keep record of requests for religious accommodation, and the status of whether those requests have been approved.</w:t>
      </w:r>
      <w:r w:rsidDel="00000000" w:rsidR="00000000" w:rsidRPr="00000000">
        <w:rPr>
          <w:rtl w:val="0"/>
        </w:rPr>
      </w:r>
    </w:p>
    <w:p w:rsidR="00000000" w:rsidDel="00000000" w:rsidP="00000000" w:rsidRDefault="00000000" w:rsidRPr="00000000" w14:paraId="00000033">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Approve all IASB Policy Series 403.7 and supporting documents.</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___________      Seconded by:  ___________   Those Voting:  ____ AYE    ____NAY</w:t>
      </w:r>
    </w:p>
    <w:p w:rsidR="00000000" w:rsidDel="00000000" w:rsidP="00000000" w:rsidRDefault="00000000" w:rsidRPr="00000000" w14:paraId="00000037">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Consideration of Adjournment:  Time:________</w:t>
      </w:r>
    </w:p>
    <w:p w:rsidR="00000000" w:rsidDel="00000000" w:rsidP="00000000" w:rsidRDefault="00000000" w:rsidRPr="00000000" w14:paraId="00000039">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___________      Seconded by:  ___________   Those Voting:  ____ AYE    ____NAY</w:t>
        <w:tab/>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3D">
      <w:pPr>
        <w:numPr>
          <w:ilvl w:val="0"/>
          <w:numId w:val="1"/>
        </w:numPr>
        <w:shd w:fill="ffffff" w:val="clear"/>
        <w:ind w:left="720" w:hanging="360"/>
        <w:jc w:val="both"/>
        <w:rPr>
          <w:rFonts w:ascii="Times New Roman" w:cs="Times New Roman" w:eastAsia="Times New Roman" w:hAnsi="Times New Roman"/>
        </w:rPr>
      </w:pPr>
      <w:r w:rsidDel="00000000" w:rsidR="00000000" w:rsidRPr="00000000">
        <w:rPr>
          <w:color w:val="222222"/>
          <w:rtl w:val="0"/>
        </w:rPr>
        <w:t xml:space="preserve">Friday</w:t>
      </w:r>
      <w:r w:rsidDel="00000000" w:rsidR="00000000" w:rsidRPr="00000000">
        <w:rPr>
          <w:color w:val="222222"/>
          <w:rtl w:val="0"/>
        </w:rPr>
        <w:t xml:space="preserve">, </w:t>
      </w:r>
      <w:r w:rsidDel="00000000" w:rsidR="00000000" w:rsidRPr="00000000">
        <w:rPr>
          <w:color w:val="222222"/>
          <w:rtl w:val="0"/>
        </w:rPr>
        <w:t xml:space="preserve">January 14, 2022,  time 12:00 p.m. (noon) Special meeting </w:t>
      </w:r>
    </w:p>
    <w:p w:rsidR="00000000" w:rsidDel="00000000" w:rsidP="00000000" w:rsidRDefault="00000000" w:rsidRPr="00000000" w14:paraId="0000003E">
      <w:pPr>
        <w:numPr>
          <w:ilvl w:val="0"/>
          <w:numId w:val="1"/>
        </w:numPr>
        <w:shd w:fill="ffffff" w:val="clear"/>
        <w:ind w:left="720" w:hanging="360"/>
        <w:jc w:val="both"/>
        <w:rPr>
          <w:rFonts w:ascii="Times New Roman" w:cs="Times New Roman" w:eastAsia="Times New Roman" w:hAnsi="Times New Roman"/>
        </w:rPr>
      </w:pPr>
      <w:r w:rsidDel="00000000" w:rsidR="00000000" w:rsidRPr="00000000">
        <w:rPr>
          <w:color w:val="222222"/>
          <w:rtl w:val="0"/>
        </w:rPr>
        <w:t xml:space="preserve">Monday, January 17, 2022,  time 6:00 p.m. Regular board meeting</w:t>
      </w:r>
    </w:p>
    <w:p w:rsidR="00000000" w:rsidDel="00000000" w:rsidP="00000000" w:rsidRDefault="00000000" w:rsidRPr="00000000" w14:paraId="0000003F">
      <w:pPr>
        <w:ind w:left="0" w:firstLine="0"/>
        <w:jc w:val="both"/>
        <w:rPr>
          <w:rFonts w:ascii="Times New Roman" w:cs="Times New Roman" w:eastAsia="Times New Roman" w:hAnsi="Times New Roman"/>
          <w:highlight w:val="yellow"/>
        </w:rPr>
      </w:pPr>
      <w:r w:rsidDel="00000000" w:rsidR="00000000" w:rsidRPr="00000000">
        <w:rPr>
          <w:rtl w:val="0"/>
        </w:rPr>
      </w:r>
    </w:p>
    <w:sectPr>
      <w:headerReference r:id="rId17" w:type="default"/>
      <w:footerReference r:id="rId18"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pict>
        <v:shape id="WordPictureWatermark1" style="position:absolute;width:525.5999999999999pt;height:295.6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shd w:fill="auto" w:val="clear"/>
      </w:rPr>
    </w:lvl>
    <w:lvl w:ilvl="2">
      <w:start w:val="1"/>
      <w:numFmt w:val="decimal"/>
      <w:lvlText w:val="%1.%2.%3."/>
      <w:lvlJc w:val="right"/>
      <w:pPr>
        <w:ind w:left="2340" w:hanging="360"/>
      </w:pPr>
      <w:rPr>
        <w:u w:val="none"/>
      </w:rPr>
    </w:lvl>
    <w:lvl w:ilvl="3">
      <w:start w:val="1"/>
      <w:numFmt w:val="decimal"/>
      <w:lvlText w:val="%1.%2.%3.%4."/>
      <w:lvlJc w:val="right"/>
      <w:pPr>
        <w:ind w:left="3420" w:hanging="360"/>
      </w:pPr>
      <w:rPr>
        <w:u w:val="none"/>
      </w:rPr>
    </w:lvl>
    <w:lvl w:ilvl="4">
      <w:start w:val="1"/>
      <w:numFmt w:val="decimal"/>
      <w:lvlText w:val="%1.%2.%3.%4.%5."/>
      <w:lvlJc w:val="right"/>
      <w:pPr>
        <w:ind w:left="4590" w:hanging="360"/>
      </w:pPr>
      <w:rPr>
        <w:u w:val="none"/>
      </w:rPr>
    </w:lvl>
    <w:lvl w:ilvl="5">
      <w:start w:val="1"/>
      <w:numFmt w:val="decimal"/>
      <w:lvlText w:val="%1.%2.%3.%4.%5.%6."/>
      <w:lvlJc w:val="right"/>
      <w:pPr>
        <w:ind w:left="531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I_IIy7ZracEDVu8kWWK7U5U87Lzuq3Oc/view?usp=sharing" TargetMode="External"/><Relationship Id="rId10" Type="http://schemas.openxmlformats.org/officeDocument/2006/relationships/hyperlink" Target="http://redirector.microscribepub.com/?cat=cfr&amp;loc=us&amp;id=29&amp;spec=1910" TargetMode="External"/><Relationship Id="rId13" Type="http://schemas.openxmlformats.org/officeDocument/2006/relationships/hyperlink" Target="https://drive.google.com/file/d/1I3Nb2Ewo9dcr1TbbAR_hgckxQX7B1jrV/view?usp=sharing" TargetMode="External"/><Relationship Id="rId12" Type="http://schemas.openxmlformats.org/officeDocument/2006/relationships/hyperlink" Target="https://drive.google.com/file/d/1IHtpk_3JABrNzUf43_Ah9cI73hwZGWZJ/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HHnGiCQZ71SZtTqNzlqJkdNBynCvQ1ZE/edit?usp=sharing&amp;ouid=106595782676496441316&amp;rtpof=true&amp;sd=true" TargetMode="External"/><Relationship Id="rId15" Type="http://schemas.openxmlformats.org/officeDocument/2006/relationships/hyperlink" Target="https://drive.google.com/file/d/1HmhinVs6veLgTm-am3zGKp8RJstrhLhc/view?usp=sharing" TargetMode="External"/><Relationship Id="rId14" Type="http://schemas.openxmlformats.org/officeDocument/2006/relationships/hyperlink" Target="https://drive.google.com/file/d/1Hq0Mw7qXzcSe7hcFFFCH8ipVnIqsW1l9/view?usp=sharing" TargetMode="External"/><Relationship Id="rId17" Type="http://schemas.openxmlformats.org/officeDocument/2006/relationships/header" Target="header1.xml"/><Relationship Id="rId16" Type="http://schemas.openxmlformats.org/officeDocument/2006/relationships/hyperlink" Target="https://drive.google.com/file/d/1HX4RRZh_-bmiVAaypk8lHHS3ZEFDGW3n/view?usp=sharing"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horturl.at/rsGPR" TargetMode="External"/><Relationship Id="rId8" Type="http://schemas.openxmlformats.org/officeDocument/2006/relationships/hyperlink" Target="http://shorturl.at/rsG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